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DF77FD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EE7E5F">
        <w:rPr>
          <w:bCs/>
          <w:sz w:val="28"/>
          <w:szCs w:val="28"/>
        </w:rPr>
        <w:t>202</w:t>
      </w:r>
      <w:r w:rsidR="00D346B3">
        <w:rPr>
          <w:bCs/>
          <w:sz w:val="28"/>
          <w:szCs w:val="28"/>
        </w:rPr>
        <w:t>3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233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DF77FD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D346B3">
        <w:rPr>
          <w:kern w:val="2"/>
          <w:sz w:val="28"/>
          <w:szCs w:val="28"/>
        </w:rPr>
        <w:t>3</w:t>
      </w:r>
      <w:r w:rsidRPr="00107D7D">
        <w:rPr>
          <w:kern w:val="2"/>
          <w:sz w:val="28"/>
          <w:szCs w:val="28"/>
        </w:rPr>
        <w:t xml:space="preserve"> № </w:t>
      </w:r>
      <w:r w:rsidR="00DF77FD">
        <w:rPr>
          <w:kern w:val="2"/>
          <w:sz w:val="28"/>
          <w:szCs w:val="28"/>
        </w:rPr>
        <w:t>233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D346B3">
              <w:rPr>
                <w:spacing w:val="-12"/>
                <w:sz w:val="28"/>
                <w:szCs w:val="28"/>
              </w:rPr>
              <w:t>627,2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26,5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D346B3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715,2</w:t>
            </w:r>
            <w:r w:rsidR="00642955"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D346B3">
              <w:rPr>
                <w:rFonts w:eastAsia="Calibri"/>
                <w:sz w:val="28"/>
                <w:szCs w:val="28"/>
                <w:lang w:eastAsia="en-US"/>
              </w:rPr>
              <w:t>627,2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26,5</w:t>
            </w:r>
            <w:r w:rsidR="008752DC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D346B3">
              <w:rPr>
                <w:spacing w:val="-12"/>
                <w:sz w:val="28"/>
                <w:szCs w:val="28"/>
              </w:rPr>
              <w:t>627,2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26</w:t>
            </w:r>
            <w:r w:rsidR="00683034">
              <w:rPr>
                <w:sz w:val="28"/>
                <w:szCs w:val="28"/>
              </w:rPr>
              <w:t>,</w:t>
            </w:r>
            <w:r w:rsidR="00D346B3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F100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D346B3">
              <w:rPr>
                <w:rFonts w:eastAsia="Calibri"/>
                <w:sz w:val="28"/>
                <w:szCs w:val="28"/>
                <w:lang w:eastAsia="en-US"/>
              </w:rPr>
              <w:t>627,2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683034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26,5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683034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D346B3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D346B3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D346B3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D346B3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D346B3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726,5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683034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D346B3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7F100F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FD216A" w:rsidP="00140D88">
            <w:pPr>
              <w:jc w:val="center"/>
            </w:pPr>
            <w:r>
              <w:t>1</w:t>
            </w:r>
            <w:r w:rsidR="00140D88">
              <w:t>040,0</w:t>
            </w:r>
          </w:p>
        </w:tc>
        <w:tc>
          <w:tcPr>
            <w:tcW w:w="782" w:type="dxa"/>
          </w:tcPr>
          <w:p w:rsidR="00B7193B" w:rsidRPr="00CD0762" w:rsidRDefault="00D346B3" w:rsidP="00B7193B">
            <w:pPr>
              <w:jc w:val="center"/>
            </w:pPr>
            <w:r>
              <w:t>966,8</w:t>
            </w:r>
          </w:p>
        </w:tc>
        <w:tc>
          <w:tcPr>
            <w:tcW w:w="782" w:type="dxa"/>
          </w:tcPr>
          <w:p w:rsidR="00B7193B" w:rsidRPr="00CD0762" w:rsidRDefault="00D346B3" w:rsidP="00140D88">
            <w:pPr>
              <w:jc w:val="center"/>
            </w:pPr>
            <w:r>
              <w:t>726,5</w:t>
            </w:r>
          </w:p>
        </w:tc>
        <w:tc>
          <w:tcPr>
            <w:tcW w:w="782" w:type="dxa"/>
          </w:tcPr>
          <w:p w:rsidR="00B7193B" w:rsidRPr="00CD0762" w:rsidRDefault="00D346B3" w:rsidP="00140D88">
            <w:pPr>
              <w:jc w:val="center"/>
            </w:pPr>
            <w:r>
              <w:t>681,7</w:t>
            </w:r>
          </w:p>
        </w:tc>
        <w:tc>
          <w:tcPr>
            <w:tcW w:w="780" w:type="dxa"/>
          </w:tcPr>
          <w:p w:rsidR="00B7193B" w:rsidRPr="00CD0762" w:rsidRDefault="00D346B3" w:rsidP="00B7193B">
            <w:pPr>
              <w:jc w:val="center"/>
            </w:pPr>
            <w:r>
              <w:t>715,2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683034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D346B3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D346B3" w:rsidP="00140D88">
            <w:pPr>
              <w:jc w:val="center"/>
            </w:pPr>
            <w:r>
              <w:t>726,5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D346B3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8627,7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D346B3" w:rsidP="00140D88">
            <w:pPr>
              <w:jc w:val="center"/>
            </w:pPr>
            <w:r>
              <w:t>726,5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683034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D346B3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D346B3" w:rsidP="00140D88">
            <w:pPr>
              <w:jc w:val="center"/>
            </w:pPr>
            <w:r>
              <w:t>726,5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D346B3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8627,2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D346B3" w:rsidP="00140D88">
            <w:pPr>
              <w:jc w:val="center"/>
            </w:pPr>
            <w:r>
              <w:t>726,5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98" w:rsidRDefault="00895498">
      <w:r>
        <w:separator/>
      </w:r>
    </w:p>
  </w:endnote>
  <w:endnote w:type="continuationSeparator" w:id="0">
    <w:p w:rsidR="00895498" w:rsidRDefault="0089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433E8F" w:rsidRDefault="00433E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E8F" w:rsidRPr="002B3DC9" w:rsidRDefault="00433E8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8F" w:rsidRDefault="00433E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77FD">
      <w:rPr>
        <w:rStyle w:val="ab"/>
        <w:noProof/>
      </w:rPr>
      <w:t>9</w:t>
    </w:r>
    <w:r>
      <w:rPr>
        <w:rStyle w:val="ab"/>
      </w:rPr>
      <w:fldChar w:fldCharType="end"/>
    </w:r>
  </w:p>
  <w:p w:rsidR="00433E8F" w:rsidRPr="00AD5B79" w:rsidRDefault="00433E8F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98" w:rsidRDefault="00895498">
      <w:r>
        <w:separator/>
      </w:r>
    </w:p>
  </w:footnote>
  <w:footnote w:type="continuationSeparator" w:id="0">
    <w:p w:rsidR="00895498" w:rsidRDefault="0089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17439"/>
    <w:rsid w:val="00117489"/>
    <w:rsid w:val="00121413"/>
    <w:rsid w:val="00125DE3"/>
    <w:rsid w:val="00130270"/>
    <w:rsid w:val="00130F53"/>
    <w:rsid w:val="001337A3"/>
    <w:rsid w:val="00140D88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3E8F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4D64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3034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245CC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0F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95498"/>
    <w:rsid w:val="008A26EE"/>
    <w:rsid w:val="008A49C5"/>
    <w:rsid w:val="008B185B"/>
    <w:rsid w:val="008B658C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6B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0339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29E6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46B3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DF77FD"/>
    <w:rsid w:val="00E014CE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7AA6-56C9-43A5-954A-0251273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513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75</cp:revision>
  <cp:lastPrinted>2022-12-28T07:46:00Z</cp:lastPrinted>
  <dcterms:created xsi:type="dcterms:W3CDTF">2018-10-17T09:58:00Z</dcterms:created>
  <dcterms:modified xsi:type="dcterms:W3CDTF">2023-12-28T11:46:00Z</dcterms:modified>
</cp:coreProperties>
</file>